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</w:t>
      </w:r>
      <w:r>
        <w:rPr>
          <w:rFonts w:eastAsia="Arial"/>
          <w:sz w:val="20"/>
          <w:szCs w:val="20"/>
        </w:rPr>
        <w:t>CRECI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651</Words>
  <Characters>3868</Characters>
  <CharactersWithSpaces>4622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2024-09-04T11:58:12Z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